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121 vom 28. Februar 1974</w:t>
      </w:r>
    </w:p>
    <w:p>
      <w:r>
        <w:t>Bundesgericht (BGE), 1974-02-28, DE</w:t>
      </w:r>
    </w:p>
    <w:p>
      <w:r>
        <w:rPr>
          <w:b/>
        </w:rPr>
        <w:t xml:space="preserve">Quelle: </w:t>
      </w:r>
      <w:r>
        <w:t>https://mcp.opencaselaw.ch/entscheid/bge_100 IB 121</w:t>
      </w:r>
    </w:p>
    <w:p>
      <w:r>
        <w:t>FR: BGE 100 IB 121 du 28 février 1974</w:t>
      </w:r>
    </w:p>
    <w:p>
      <w:r>
        <w:t>IT: BGE 100 IB 121 del 28 febbraio 1974</w:t>
      </w:r>
    </w:p>
    <w:p>
      <w:pPr>
        <w:pStyle w:val="Heading2"/>
      </w:pPr>
      <w:r>
        <w:t>Regeste</w:t>
      </w:r>
    </w:p>
    <w:p>
      <w:r>
        <w:t>Regeste Erbteilungsvertrag: Vertrag über angefallene Erbanteile. Im Rahmen eines Erbteilungsvertrages kann sowohl die Übertragung von Grundeigentum als auch die Begründung beschränkter dinglicher Rechte, die sonst nur in öffentlich beurkundetem Vertrag errichtet werden können, in einfacher Schriftfonn vereinbart werden (Erw. 1). Anforderungen an einen Erbteilungsvertrag, damit er als Ausweis für eine Eintragung im Grundbuch gelten kann (Erw. 2). Art. 635 ZGB enthält eine besondere Formvorschrift lediglich für die Übertragung von angefallenen Erbanteilen oder von Bruchteilen derselben. Werden einzelne Gegenstände oder Rechte aus einem Nachlass nicht in einem Erbteilungsvertrag aufgeteilt, so müssen sie nach den gewöhnlichen Regeln der Rechtsgeschäfte unter Lebenden auf den Erwerber übertragen werden (Erw. 4).</w:t>
      </w:r>
    </w:p>
    <w:p>
      <w:pPr>
        <w:pStyle w:val="Heading2"/>
      </w:pPr>
      <w:r>
        <w:t>Erwägungen</w:t>
      </w:r>
    </w:p>
    <w:p>
      <w:r>
        <w:rPr>
          <w:b/>
        </w:rPr>
        <w:t>E. 1</w:t>
      </w:r>
    </w:p>
    <w:p>
      <w:r>
        <w:t>Nach der Rechtsprechung des Bundesgerichtes kann im Rahmen eines Erbteilungsvertrages gemäss Art. 634 Abs. 2 ZGB die Übertragung von Grundeigentum in einfacher Schriftform gültig vereinbart werden ( BGE 86 II 351 Erw. 3 a mit Hinweisen). Nach Ansicht einer Mehrheit von Autoren können auch beschränkte dingliche Rechte, die sonst der öffentlichen Beurkundung bedürfen, im Teilungsvertrag in einfacher Schriftform an Nachlassgrundstücken zugunsten einzelner Miterben begründet werden (ESCHER, N. 12 zu Art. 634 ZGB , TUOR/SCHNYDER/JÄGGI, ZGB, 8. Aufl., Zürich, 1968, S. 420 und 573/574, PICENONI in ZBGR, 1972, S. 137/138 und HAUSER, Der Erbteilungsvertrag, Diss. Zürich, 1973, S. 83 ff). In der Tat wäre nicht einzusehen, weshalb dies nicht zulässig sein sollte, wenn doch die Übertragung des vollen Eigentumsrechtes an der Liegenschaft in dieser Form möglich ist (vgl. hiezu auch Art. 712 d Abs. 3 ZGB , wonach die BGE 100 Ib 121 S. 124 Einräumung von Stockwerkeigentum im Erbteilungsvertrag in einfacher Schriftform zulässig ist). Aus Art. 19 Abs. 1 GBV geht denn auch eindeutig hervor, dass der Gesetzgeber die Nutzniessung und die andern dort angeführten beschränkten dinglichen Rechte in der Erbteilung nicht abweichend vom Eigentum behandelt wissen wollte. Dürfen aber diejenigen beschränkten dinglichen Rechte, die sonst nur in einer öffentlichen Urkunde errichtet werden können, im Erbteilungsvertrag in einfacher Schriftlichkeit begründet werden, so muss dies auch für die in Art. 19 Abs. 1 GBV nicht erwähnten Dienstbarkeiten gelten, deren Errichtungsakt sonst bloss öffentlich zu beurkunden ist, falls damit eine gesetzliche Eigentumsbeschränkung aufgehoben oder abgeändert wird. Es ist demnach davon auszugehen, dass im Erbteilungsvertrag beschränkte dingliche Rechte allgemein in einfacher Schriftform begründet werden können.</w:t>
      </w:r>
    </w:p>
    <w:p>
      <w:r>
        <w:rPr>
          <w:b/>
        </w:rPr>
        <w:t>E. 2</w:t>
      </w:r>
    </w:p>
    <w:p>
      <w:r>
        <w:t>Durch den Erbteilungsvertrag werden die Ansprüche der Erben konkretisiert und die obligatorische Verpflichtung begründet, das Gesamteigentum in ganz bestimmter Art und Weise aufzuheben (HAUSER, a.a.O., S. 85). Ein Teilungsvertrag liegt demnach nur vor, falls aus der Urkunde der übereinstimmende Wille aller Erben hervorgeht, sich definitiv im Sinne einer gänzlichen oder beschränkten Auseinandersetzung zu binden, und wenn sich dem Vertrag alle Angaben entnehmen lassen, die notwendig sind, um gestützt auf ihn die ganze oder partielle Auseinandersetzung ohne weitere Vereinbarungen durchführen zu können (HAUSER, a.a.O., S. 98). Der Teilungsvertrag muss infolgedessen eine Zusammenstellung über die Lose enthalten und bestimmen, welchen Miterben die einzelnen Lose zufallen sollen. Handelt es sich bloss um eine objektiv partielle Erbteilung, so genügt es, dass aus dem Vertrag hervorgeht, inwieweit der Teil des Nachlasses, der ausgeschieden werden soll, dem Los des erwerbenden Miterben anzurechnen ist. Genügt ein Vertrag diesen Anforderungen nicht, so kann er jedenfalls nicht als Teilungsvertrag im Sinne des Gesetzes und infolgedessen auch nicht als Ausweis für eine Eintragung im Grundbuch gelten.</w:t>
      </w:r>
    </w:p>
    <w:p>
      <w:r>
        <w:rPr>
          <w:b/>
        </w:rPr>
        <w:t>E. 3</w:t>
      </w:r>
    </w:p>
    <w:p>
      <w:r>
        <w:t>Der Vertrag, den die Erben der Rosa Kuntschen am 16. Oktober 1972 abschlossen, ist eher als Vertrag über den Ausschluss der Teilung denn als Teilungsvertrag zu qualifizieren. Die Erben vereinbarten darin nämlich ausdrücklich, dass BGE 100 Ib 121 S. 125 das Grundeigentum in den Mayens de Sion und in Leuk zu ihren Lebzeiten nicht geteilt werden dürfe, und regelten überdies die Verwaltung des beweglichen und unbeweglichen Nachlassvermögens, womit implicite ebenfalls der Wille zur Aufrechterhaltung der Erbengemeinschaft zum Ausdruck gebracht wird. Aber auch bezüglich der Einräumung der Nutzniessung zugunsten der Erbinnen Myriam und Germaine Kuntschen kann der Vertrag nicht als partielle Erbteilung betrachtet werden. Einerseits lässt sich ihm nämlich kein übereinstimmender Teilungswille entnehmen, andererseits geht aus ihm nicht hervor, inwieweit die Nutzniessung den beiden Erbinnen auf deren Erbteil anzurechnen ist. Dass sich beide mit der Nutzniessung ihren ganzen Erbteil abgelten lassen wollten, kann wohl kaum vermutet werden. Der Grundbuchverwalter von Leuk nahm deshalb zu Recht an, die Vereinbarung über die Nutzniessung könne nicht als partieller Erbteilungsvertrag gelten.</w:t>
      </w:r>
    </w:p>
    <w:p>
      <w:r>
        <w:rPr>
          <w:b/>
        </w:rPr>
        <w:t>E. 4</w:t>
      </w:r>
    </w:p>
    <w:p>
      <w:r>
        <w:t>Die Beschwerdeführer machen im weitern geltend, sofern die Vereinbarung über die Einräumung der Nutzniessung nicht als partieller Erbteilungsvertrag betrachtet werde, müsse darin jedenfalls ein Vertrag über angefallene Erbanteile gemäss Art. 635 ZGB erblickt werden. Sie übersehen dabei jedoch, dass einzelne Gegenstände oder Rechte aus dem Nachlass nicht Gegenstand eines Vertrages nach Art. 635 ZGB bilden können. Werden diese Gegenstände oder Rechte nicht in einem Teilungsvertrag auf einzelne Miterben aufgeteilt, so müssen sie nach den gewöhnlichen Regeln der Rechtsgeschäfte unter Lebenden auf den Erwerber übertragen werden. Art. 635 ZGB enthält eine besondere Formvorschrift lediglich für die Übertragung von angefallenen Erbanteilen oder von Bruchteilen derselben. Aus der Vereinbarung der Erben Rosa Kuntschen ergibt sich nun keineswegs, dass einzelne Erben den Miterben ihre angefallenen Erbanteile oder Bruchteile davon abtreten wollten; sondern aus ihr geht im Gegenteil deutlich hervor, dass sie Myriam und Germaine Kuntschen lediglich die Nutzniessung am Apartment in Leuk einräumen wollten. In dieser Vereinbarung kann demzufolge keine Abtretung von Erbanteilen nach Art. 635 ZGB erblickt werden.</w:t>
      </w:r>
    </w:p>
    <w:p>
      <w:r>
        <w:rPr>
          <w:b/>
        </w:rPr>
        <w:t>E. 6</w:t>
      </w:r>
    </w:p>
    <w:p>
      <w:r>
        <w:t>Schliesslich verlangen die Beschwerdeführer noch, dass auch die vom Staatsrat ausgesprochene Verteilung der BGE 100 Ib 121 S. 126 Kosten für das kantonale Verfahren aufgehoben werde. Der Entscheid des Staatsrates über die Kosten gründet sich jedoch ausschliesslich auf kantonales Recht. Er ist somit nicht eine auf öffentliches Recht des Bundes gestützte Verfügung im Sinne von Art. 5 VwG und konnte deshalb nicht selbständig mit Verwaltungsgerichtsbeschwerde angefochten werden. Da das Bundesgericht den Entscheid der Vorinstanz nicht abändert, ist eine Änderung des angefochtenen Kostenentscheides auch auf Grund von Art. 157 OG ausgeschlossen. Wird die Beschwerde gegen den Kostenentscheid als staatsrechtliche Beschwerde betrachtet, so kann auf sie nicht eingetreten werden, weil sie nicht in einer den Anforderungen des Art. 90 OG genügenden Weise begründet ist ( BGE 99 Ib 215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